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77015" cy="69629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7015" cy="696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4"/>
          <w:szCs w:val="34"/>
          <w:vertAlign w:val="baseline"/>
        </w:rPr>
      </w:pP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COMMUNICATION LOG</w:t>
      </w:r>
      <w:r w:rsidDel="00000000" w:rsidR="00000000" w:rsidRPr="00000000">
        <w:rPr>
          <w:sz w:val="34"/>
          <w:szCs w:val="34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CASE #: ______________________________</w:t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"/>
        <w:gridCol w:w="728"/>
        <w:gridCol w:w="8119"/>
        <w:gridCol w:w="1061"/>
        <w:tblGridChange w:id="0">
          <w:tblGrid>
            <w:gridCol w:w="892"/>
            <w:gridCol w:w="728"/>
            <w:gridCol w:w="8119"/>
            <w:gridCol w:w="10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NATURE OF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vertAlign w:val="baseline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LUGpSwPGwKVcwCVQVbS/FGDPw==">AMUW2mXaGVZ72cybE7WGOWAZ7M6o6fT679ZxKz1qv6Z0NmZNOJQpX83UZoDuIUEh6zBMEJUMdNBBxYNSeNLaRnUqCsw6Ws+BU21xca/ZoEhN2LKuPZbXWl4=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2007-07-06T21:21:00Z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