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/>
        <w:drawing>
          <wp:inline distB="114300" distT="114300" distL="114300" distR="114300">
            <wp:extent cx="2081213" cy="66844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66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UPCOMING TRIAL SIGN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_____________________ LOCATION: ________________________________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"/>
        <w:gridCol w:w="1728"/>
        <w:gridCol w:w="1728"/>
        <w:gridCol w:w="1728"/>
        <w:gridCol w:w="1728"/>
        <w:tblGridChange w:id="0">
          <w:tblGrid>
            <w:gridCol w:w="1728"/>
            <w:gridCol w:w="1728"/>
            <w:gridCol w:w="1728"/>
            <w:gridCol w:w="1728"/>
            <w:gridCol w:w="172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RC?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JUDGE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JUDGE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 MENTOR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 TEEN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 TEEN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MENTOR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TEEN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TEEN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36B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Jpbkk0zyLUaq6A2K5ls5Zga+Ig==">AMUW2mVZDxdW0h8YWmPdLOo1NqGctEQ86HkXYHXzSf5VWUM1H5OvQFyTXf9M9/lbrTDYjHpmPuvEhkNDslzkDnfQocDq4zSSaQb2ua8k3KfVph2whOUE/r8=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2007-07-02T22:55:00Z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